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56F9" w14:textId="3784F162" w:rsidR="006011A3" w:rsidRPr="00A640C0" w:rsidRDefault="006011A3" w:rsidP="00A640C0">
      <w:pPr>
        <w:spacing w:after="0" w:line="240" w:lineRule="auto"/>
        <w:rPr>
          <w:b/>
          <w:bCs/>
          <w:sz w:val="32"/>
          <w:szCs w:val="32"/>
        </w:rPr>
      </w:pPr>
      <w:bookmarkStart w:id="0" w:name="_Hlk104896355"/>
      <w:r w:rsidRPr="00A640C0">
        <w:rPr>
          <w:b/>
          <w:bCs/>
          <w:sz w:val="32"/>
          <w:szCs w:val="32"/>
        </w:rPr>
        <w:t>Jess Clarke</w:t>
      </w:r>
      <w:r w:rsidR="00543E52" w:rsidRPr="00A640C0">
        <w:rPr>
          <w:b/>
          <w:bCs/>
          <w:sz w:val="32"/>
          <w:szCs w:val="32"/>
        </w:rPr>
        <w:t xml:space="preserve"> </w:t>
      </w:r>
    </w:p>
    <w:p w14:paraId="3FDDA896" w14:textId="37CDD625" w:rsidR="006011A3" w:rsidRDefault="00543E52" w:rsidP="00A640C0">
      <w:pPr>
        <w:spacing w:after="0" w:line="240" w:lineRule="auto"/>
      </w:pPr>
      <w:hyperlink r:id="rId6" w:history="1">
        <w:r w:rsidR="006011A3" w:rsidRPr="003339F5">
          <w:rPr>
            <w:rStyle w:val="Hyperlink"/>
          </w:rPr>
          <w:t>j.clarke14@newcastle.ac.uk</w:t>
        </w:r>
      </w:hyperlink>
    </w:p>
    <w:p w14:paraId="719E7D42" w14:textId="022D04C3" w:rsidR="00B54748" w:rsidRDefault="00A640C0" w:rsidP="00A640C0">
      <w:pPr>
        <w:spacing w:after="0" w:line="240" w:lineRule="auto"/>
        <w:rPr>
          <w:rStyle w:val="Hyperlink"/>
        </w:rPr>
      </w:pPr>
      <w:hyperlink r:id="rId7" w:history="1">
        <w:r w:rsidR="00B54748" w:rsidRPr="003339F5">
          <w:rPr>
            <w:rStyle w:val="Hyperlink"/>
          </w:rPr>
          <w:t>https://research.ncl.ac.uk/biofouling/</w:t>
        </w:r>
      </w:hyperlink>
    </w:p>
    <w:p w14:paraId="141C5D3F" w14:textId="083664E9" w:rsidR="00A640C0" w:rsidRDefault="00A640C0" w:rsidP="00A640C0">
      <w:pPr>
        <w:spacing w:after="0" w:line="240" w:lineRule="auto"/>
      </w:pPr>
      <w:hyperlink r:id="rId8" w:history="1">
        <w:r w:rsidRPr="0002247A">
          <w:rPr>
            <w:rStyle w:val="Hyperlink"/>
          </w:rPr>
          <w:t>https://orcid.org/0000-0002-7145-9367</w:t>
        </w:r>
      </w:hyperlink>
      <w:r>
        <w:t xml:space="preserve"> </w:t>
      </w:r>
    </w:p>
    <w:p w14:paraId="29C9EFE0" w14:textId="430424D0" w:rsidR="00A640C0" w:rsidRDefault="00A640C0" w:rsidP="00A640C0">
      <w:pPr>
        <w:spacing w:after="0" w:line="240" w:lineRule="auto"/>
      </w:pPr>
    </w:p>
    <w:p w14:paraId="1105217F" w14:textId="182A1584" w:rsidR="00A640C0" w:rsidRDefault="00A640C0" w:rsidP="00A640C0">
      <w:pPr>
        <w:spacing w:after="0" w:line="240" w:lineRule="auto"/>
      </w:pPr>
    </w:p>
    <w:p w14:paraId="4175E244" w14:textId="21882785" w:rsidR="00885F75" w:rsidRDefault="00A640C0">
      <w:pPr>
        <w:rPr>
          <w:b/>
          <w:bCs/>
        </w:rPr>
      </w:pPr>
      <w:r>
        <w:rPr>
          <w:noProof/>
        </w:rPr>
        <w:drawing>
          <wp:anchor distT="107950" distB="107950" distL="180340" distR="180340" simplePos="0" relativeHeight="251658240" behindDoc="0" locked="0" layoutInCell="1" allowOverlap="1" wp14:anchorId="4F360883" wp14:editId="65F3EE3A">
            <wp:simplePos x="0" y="0"/>
            <wp:positionH relativeFrom="column">
              <wp:posOffset>3420745</wp:posOffset>
            </wp:positionH>
            <wp:positionV relativeFrom="paragraph">
              <wp:posOffset>67945</wp:posOffset>
            </wp:positionV>
            <wp:extent cx="2448000" cy="2448000"/>
            <wp:effectExtent l="0" t="0" r="9525" b="9525"/>
            <wp:wrapThrough wrapText="bothSides">
              <wp:wrapPolygon edited="0">
                <wp:start x="0" y="0"/>
                <wp:lineTo x="0" y="21516"/>
                <wp:lineTo x="21516" y="21516"/>
                <wp:lineTo x="21516" y="0"/>
                <wp:lineTo x="0" y="0"/>
              </wp:wrapPolygon>
            </wp:wrapThrough>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8000" cy="2448000"/>
                    </a:xfrm>
                    <a:prstGeom prst="rect">
                      <a:avLst/>
                    </a:prstGeom>
                  </pic:spPr>
                </pic:pic>
              </a:graphicData>
            </a:graphic>
            <wp14:sizeRelH relativeFrom="margin">
              <wp14:pctWidth>0</wp14:pctWidth>
            </wp14:sizeRelH>
            <wp14:sizeRelV relativeFrom="margin">
              <wp14:pctHeight>0</wp14:pctHeight>
            </wp14:sizeRelV>
          </wp:anchor>
        </w:drawing>
      </w:r>
      <w:r w:rsidR="00011B91">
        <w:rPr>
          <w:b/>
          <w:bCs/>
        </w:rPr>
        <w:t>P</w:t>
      </w:r>
      <w:r w:rsidR="00011B91" w:rsidRPr="00011B91">
        <w:rPr>
          <w:b/>
          <w:bCs/>
        </w:rPr>
        <w:t xml:space="preserve">roject: Biofouling invertebrates and their larvae as vectors of antimicrobial resistance </w:t>
      </w:r>
      <w:r w:rsidR="000113FA">
        <w:rPr>
          <w:b/>
          <w:bCs/>
        </w:rPr>
        <w:t xml:space="preserve">(AMR) </w:t>
      </w:r>
      <w:r w:rsidR="00011B91" w:rsidRPr="00011B91">
        <w:rPr>
          <w:b/>
          <w:bCs/>
        </w:rPr>
        <w:t>and marine pathogens</w:t>
      </w:r>
    </w:p>
    <w:p w14:paraId="1D02BBE9" w14:textId="744FD955" w:rsidR="00B0329B" w:rsidRDefault="009134F9" w:rsidP="00744EC6">
      <w:pPr>
        <w:jc w:val="both"/>
      </w:pPr>
      <w:r>
        <w:t xml:space="preserve">Traditionally anti-fouling technology is based upon the use of biocides in paints to prevent colonization or to kill through toxicity of potential settlers. Consequently, only species that are ‘resistant’ </w:t>
      </w:r>
      <w:proofErr w:type="gramStart"/>
      <w:r>
        <w:t>are able to</w:t>
      </w:r>
      <w:proofErr w:type="gramEnd"/>
      <w:r>
        <w:t xml:space="preserve"> thrive on these surfaces. There is evidence that heavy metals and biocides in these paints, select for resistant species and bacteria within the biofilms that form, while also co-selecting those that demonstrate Antibiotic </w:t>
      </w:r>
      <w:proofErr w:type="gramStart"/>
      <w:r>
        <w:t xml:space="preserve">Resistance, </w:t>
      </w:r>
      <w:r>
        <w:rPr>
          <w:sz w:val="14"/>
          <w:szCs w:val="14"/>
        </w:rPr>
        <w:t xml:space="preserve"> </w:t>
      </w:r>
      <w:r>
        <w:t>cumulatively</w:t>
      </w:r>
      <w:proofErr w:type="gramEnd"/>
      <w:r>
        <w:t xml:space="preserve"> forming the ‘resist-</w:t>
      </w:r>
      <w:proofErr w:type="spellStart"/>
      <w:r>
        <w:t>ome</w:t>
      </w:r>
      <w:proofErr w:type="spellEnd"/>
      <w:r>
        <w:t>’.</w:t>
      </w:r>
      <w:r w:rsidR="00B00824">
        <w:t xml:space="preserve"> </w:t>
      </w:r>
      <w:r w:rsidR="00B00824" w:rsidRPr="00B00824">
        <w:t>Fouling communities may therefore pose as a reservoir of anti-microbial resistance (AMR) and pathogenic bacteria &amp; viruses (</w:t>
      </w:r>
      <w:proofErr w:type="gramStart"/>
      <w:r w:rsidR="00B00824" w:rsidRPr="00B00824">
        <w:t>e.g.</w:t>
      </w:r>
      <w:proofErr w:type="gramEnd"/>
      <w:r w:rsidR="00B00824" w:rsidRPr="00B00824">
        <w:t xml:space="preserve"> </w:t>
      </w:r>
      <w:r w:rsidR="00B00824" w:rsidRPr="00744EC6">
        <w:rPr>
          <w:i/>
          <w:iCs/>
        </w:rPr>
        <w:t xml:space="preserve">Vibrio parahaemolyticus </w:t>
      </w:r>
      <w:r w:rsidR="00B00824" w:rsidRPr="00B00824">
        <w:t xml:space="preserve">and </w:t>
      </w:r>
      <w:r w:rsidR="00B00824" w:rsidRPr="00744EC6">
        <w:rPr>
          <w:i/>
          <w:iCs/>
        </w:rPr>
        <w:t xml:space="preserve">Pseudomonas </w:t>
      </w:r>
      <w:proofErr w:type="spellStart"/>
      <w:r w:rsidR="00B00824" w:rsidRPr="00744EC6">
        <w:rPr>
          <w:i/>
          <w:iCs/>
        </w:rPr>
        <w:t>putrefaciens</w:t>
      </w:r>
      <w:proofErr w:type="spellEnd"/>
      <w:r w:rsidR="00B00824" w:rsidRPr="00B00824">
        <w:t>) within the marine environment</w:t>
      </w:r>
      <w:r w:rsidR="008A3AC0">
        <w:t>.</w:t>
      </w:r>
      <w:r w:rsidR="00425809">
        <w:t xml:space="preserve"> </w:t>
      </w:r>
    </w:p>
    <w:p w14:paraId="217C077C" w14:textId="0F1B1509" w:rsidR="009134F9" w:rsidRPr="00011B91" w:rsidRDefault="00425809" w:rsidP="00744EC6">
      <w:pPr>
        <w:jc w:val="both"/>
        <w:rPr>
          <w:b/>
          <w:bCs/>
        </w:rPr>
      </w:pPr>
      <w:r w:rsidRPr="00425809">
        <w:t>AMR is recognised by the World Health Organization (WHO) as one of the most important global issues facing human and animal health. Climate change and other anthropogenic influences exacerbate the increased presence of AMR in the marine environment</w:t>
      </w:r>
      <w:r w:rsidR="004D038D">
        <w:t xml:space="preserve">. </w:t>
      </w:r>
      <w:r w:rsidR="004D038D" w:rsidRPr="004D038D">
        <w:t>Due to the heavy use of anti-foulants on ships that travel between different ecological regions, the risk of spread of potential AMR (and associated resist-</w:t>
      </w:r>
      <w:proofErr w:type="spellStart"/>
      <w:r w:rsidR="004D038D" w:rsidRPr="004D038D">
        <w:t>ome</w:t>
      </w:r>
      <w:proofErr w:type="spellEnd"/>
      <w:r w:rsidR="004D038D" w:rsidRPr="004D038D">
        <w:t>) and pathogenic species is therefore of high concern and interest.</w:t>
      </w:r>
    </w:p>
    <w:p w14:paraId="43774D0F" w14:textId="77777777" w:rsidR="00A640C0" w:rsidRDefault="00A640C0" w:rsidP="00A640C0">
      <w:pPr>
        <w:spacing w:after="0" w:line="240" w:lineRule="auto"/>
        <w:rPr>
          <w:b/>
          <w:bCs/>
          <w:u w:val="single"/>
        </w:rPr>
      </w:pPr>
    </w:p>
    <w:p w14:paraId="55252F7A" w14:textId="1B400536" w:rsidR="006011A3" w:rsidRDefault="006011A3" w:rsidP="00A640C0">
      <w:pPr>
        <w:spacing w:after="0" w:line="240" w:lineRule="auto"/>
        <w:rPr>
          <w:b/>
          <w:bCs/>
        </w:rPr>
      </w:pPr>
      <w:r w:rsidRPr="00A640C0">
        <w:rPr>
          <w:b/>
          <w:bCs/>
        </w:rPr>
        <w:t>Research Questions</w:t>
      </w:r>
    </w:p>
    <w:p w14:paraId="0214A3D1" w14:textId="77777777" w:rsidR="00A640C0" w:rsidRPr="00A640C0" w:rsidRDefault="00A640C0" w:rsidP="00A640C0">
      <w:pPr>
        <w:spacing w:after="0" w:line="240" w:lineRule="auto"/>
        <w:rPr>
          <w:b/>
          <w:bCs/>
        </w:rPr>
      </w:pPr>
    </w:p>
    <w:p w14:paraId="5F85EB42" w14:textId="12562C75" w:rsidR="00BF4BCA" w:rsidRDefault="0098125B" w:rsidP="00A640C0">
      <w:pPr>
        <w:pStyle w:val="ListParagraph"/>
        <w:numPr>
          <w:ilvl w:val="0"/>
          <w:numId w:val="6"/>
        </w:numPr>
        <w:spacing w:after="0" w:line="240" w:lineRule="auto"/>
        <w:jc w:val="both"/>
      </w:pPr>
      <w:r w:rsidRPr="00EE191B">
        <w:rPr>
          <w:u w:val="single"/>
        </w:rPr>
        <w:t>Microbiome</w:t>
      </w:r>
      <w:r>
        <w:t xml:space="preserve">: </w:t>
      </w:r>
      <w:r w:rsidR="009F1099">
        <w:t xml:space="preserve">Characterise </w:t>
      </w:r>
      <w:r w:rsidR="00610C87">
        <w:t>the a</w:t>
      </w:r>
      <w:r w:rsidR="00A004E7">
        <w:t xml:space="preserve">ssociated </w:t>
      </w:r>
      <w:r w:rsidR="00610C87">
        <w:t>microbiomes</w:t>
      </w:r>
      <w:r w:rsidR="008B6DD4">
        <w:t xml:space="preserve"> of fouling invertebrates</w:t>
      </w:r>
      <w:r w:rsidR="00610C87">
        <w:t xml:space="preserve"> on different antifouling coatings.</w:t>
      </w:r>
    </w:p>
    <w:p w14:paraId="0EF4508F" w14:textId="77777777" w:rsidR="00835D3C" w:rsidRDefault="00835D3C" w:rsidP="00A640C0">
      <w:pPr>
        <w:pStyle w:val="ListParagraph"/>
        <w:spacing w:after="0" w:line="240" w:lineRule="auto"/>
        <w:jc w:val="both"/>
      </w:pPr>
    </w:p>
    <w:p w14:paraId="0E562E03" w14:textId="38357F6F" w:rsidR="00835D3C" w:rsidRDefault="00EE191B" w:rsidP="00A640C0">
      <w:pPr>
        <w:pStyle w:val="ListParagraph"/>
        <w:numPr>
          <w:ilvl w:val="0"/>
          <w:numId w:val="6"/>
        </w:numPr>
        <w:spacing w:after="0" w:line="240" w:lineRule="auto"/>
        <w:jc w:val="both"/>
      </w:pPr>
      <w:r w:rsidRPr="00EE191B">
        <w:rPr>
          <w:u w:val="single"/>
        </w:rPr>
        <w:t>Pathogenic species:</w:t>
      </w:r>
      <w:r>
        <w:t xml:space="preserve"> </w:t>
      </w:r>
      <w:r w:rsidR="00661754">
        <w:t>Analyse</w:t>
      </w:r>
      <w:r w:rsidR="00296075">
        <w:t xml:space="preserve"> and quantify </w:t>
      </w:r>
      <w:r w:rsidR="00A004E7">
        <w:t xml:space="preserve">the </w:t>
      </w:r>
      <w:r w:rsidR="00296075">
        <w:t xml:space="preserve">presence of pathogens such as </w:t>
      </w:r>
      <w:proofErr w:type="spellStart"/>
      <w:r w:rsidR="00296075" w:rsidRPr="00610C87">
        <w:rPr>
          <w:i/>
          <w:iCs/>
        </w:rPr>
        <w:t>vibro</w:t>
      </w:r>
      <w:proofErr w:type="spellEnd"/>
      <w:r w:rsidR="00A004E7" w:rsidRPr="00A004E7">
        <w:t xml:space="preserve"> </w:t>
      </w:r>
      <w:r w:rsidR="00A004E7">
        <w:t>within these microbiomes.</w:t>
      </w:r>
    </w:p>
    <w:p w14:paraId="77668BFB" w14:textId="77777777" w:rsidR="00497D32" w:rsidRDefault="00497D32" w:rsidP="00A640C0">
      <w:pPr>
        <w:spacing w:after="0" w:line="240" w:lineRule="auto"/>
        <w:jc w:val="both"/>
      </w:pPr>
    </w:p>
    <w:p w14:paraId="17A6954D" w14:textId="7202E05C" w:rsidR="00EE191B" w:rsidRDefault="00EE191B" w:rsidP="00A640C0">
      <w:pPr>
        <w:pStyle w:val="ListParagraph"/>
        <w:numPr>
          <w:ilvl w:val="0"/>
          <w:numId w:val="6"/>
        </w:numPr>
        <w:spacing w:after="0" w:line="240" w:lineRule="auto"/>
        <w:jc w:val="both"/>
      </w:pPr>
      <w:r w:rsidRPr="00EE191B">
        <w:rPr>
          <w:u w:val="single"/>
        </w:rPr>
        <w:t>AMR genes</w:t>
      </w:r>
      <w:r>
        <w:t>: Analyse and quantify the presence of</w:t>
      </w:r>
      <w:r w:rsidR="000231F2">
        <w:t xml:space="preserve"> resistance genes such as</w:t>
      </w:r>
      <w:r>
        <w:t xml:space="preserve"> AMR genes</w:t>
      </w:r>
      <w:r w:rsidR="00A004E7">
        <w:t xml:space="preserve"> within these microbiomes.</w:t>
      </w:r>
    </w:p>
    <w:p w14:paraId="73660E0C" w14:textId="77777777" w:rsidR="00497D32" w:rsidRDefault="00497D32" w:rsidP="00A640C0">
      <w:pPr>
        <w:spacing w:after="0" w:line="240" w:lineRule="auto"/>
        <w:jc w:val="both"/>
      </w:pPr>
    </w:p>
    <w:p w14:paraId="45553D71" w14:textId="52D417D5" w:rsidR="006011A3" w:rsidRDefault="001758D9" w:rsidP="00A640C0">
      <w:pPr>
        <w:pStyle w:val="ListParagraph"/>
        <w:numPr>
          <w:ilvl w:val="0"/>
          <w:numId w:val="6"/>
        </w:numPr>
        <w:spacing w:after="0" w:line="240" w:lineRule="auto"/>
        <w:jc w:val="both"/>
      </w:pPr>
      <w:r w:rsidRPr="00A17AD1">
        <w:rPr>
          <w:u w:val="single"/>
        </w:rPr>
        <w:t>Assess risk</w:t>
      </w:r>
      <w:r>
        <w:t xml:space="preserve"> of spread of AMR genes and pathogens into the environment via </w:t>
      </w:r>
      <w:r w:rsidR="007A3CA9">
        <w:t>invertebrate larvae as a vector.</w:t>
      </w:r>
    </w:p>
    <w:p w14:paraId="676826E2" w14:textId="77777777" w:rsidR="00A640C0" w:rsidRDefault="00A640C0" w:rsidP="00A640C0">
      <w:pPr>
        <w:pStyle w:val="ListParagraph"/>
        <w:spacing w:after="0" w:line="240" w:lineRule="auto"/>
      </w:pPr>
    </w:p>
    <w:p w14:paraId="2DA328FC" w14:textId="77777777" w:rsidR="00A640C0" w:rsidRDefault="00A640C0" w:rsidP="00A640C0">
      <w:pPr>
        <w:pStyle w:val="ListParagraph"/>
        <w:spacing w:after="0" w:line="240" w:lineRule="auto"/>
        <w:jc w:val="both"/>
      </w:pPr>
    </w:p>
    <w:p w14:paraId="406497FC" w14:textId="6CDD2911" w:rsidR="006011A3" w:rsidRDefault="006011A3" w:rsidP="00A640C0">
      <w:pPr>
        <w:spacing w:after="0" w:line="240" w:lineRule="auto"/>
        <w:rPr>
          <w:b/>
          <w:bCs/>
        </w:rPr>
      </w:pPr>
      <w:r w:rsidRPr="00A640C0">
        <w:rPr>
          <w:b/>
          <w:bCs/>
        </w:rPr>
        <w:t>Techniques</w:t>
      </w:r>
    </w:p>
    <w:p w14:paraId="7B7D6E74" w14:textId="77777777" w:rsidR="00A640C0" w:rsidRPr="00A640C0" w:rsidRDefault="00A640C0" w:rsidP="00A640C0">
      <w:pPr>
        <w:spacing w:after="0" w:line="240" w:lineRule="auto"/>
        <w:rPr>
          <w:b/>
          <w:bCs/>
        </w:rPr>
      </w:pPr>
    </w:p>
    <w:p w14:paraId="48112F36" w14:textId="5104B7E1" w:rsidR="006011A3" w:rsidRDefault="00156F6B" w:rsidP="00A640C0">
      <w:pPr>
        <w:spacing w:after="0" w:line="240" w:lineRule="auto"/>
        <w:jc w:val="both"/>
      </w:pPr>
      <w:r>
        <w:t xml:space="preserve">I will use various sequencing techniques, including 16s rRNA sequencing and shotgun </w:t>
      </w:r>
      <w:r w:rsidR="00032D90">
        <w:t>sequencing</w:t>
      </w:r>
      <w:r>
        <w:t xml:space="preserve"> </w:t>
      </w:r>
      <w:r w:rsidR="00032D90">
        <w:t>to analyse the microbiome communities within fouling</w:t>
      </w:r>
      <w:r w:rsidR="008A5EC6">
        <w:t xml:space="preserve"> invertebrates</w:t>
      </w:r>
      <w:r w:rsidR="00032D90">
        <w:t xml:space="preserve"> on different anti-fouling paints.</w:t>
      </w:r>
      <w:r w:rsidR="00384959">
        <w:t xml:space="preserve"> Using the bioinformatic data from shotgun </w:t>
      </w:r>
      <w:r w:rsidR="001E7759">
        <w:t>sequencing</w:t>
      </w:r>
      <w:r w:rsidR="00384959">
        <w:t xml:space="preserve"> and various available databases, I will </w:t>
      </w:r>
      <w:r w:rsidR="001E7759">
        <w:t xml:space="preserve">identify </w:t>
      </w:r>
      <w:r w:rsidR="004E3C22">
        <w:t xml:space="preserve">key pathogenic species and </w:t>
      </w:r>
      <w:r w:rsidR="003D4BEA">
        <w:t xml:space="preserve">resistance genes including </w:t>
      </w:r>
      <w:r w:rsidR="001E7759">
        <w:t>antimicrobial resistance (AMR) genes within my samples.</w:t>
      </w:r>
      <w:r w:rsidR="0063210F">
        <w:t xml:space="preserve"> </w:t>
      </w:r>
    </w:p>
    <w:p w14:paraId="3D0F13D9" w14:textId="75EA6461" w:rsidR="00A640C0" w:rsidRDefault="00A640C0" w:rsidP="00A640C0">
      <w:pPr>
        <w:spacing w:after="0" w:line="240" w:lineRule="auto"/>
        <w:jc w:val="both"/>
      </w:pPr>
    </w:p>
    <w:p w14:paraId="3C19DB1E" w14:textId="77777777" w:rsidR="00A640C0" w:rsidRDefault="00A640C0" w:rsidP="00A640C0">
      <w:pPr>
        <w:spacing w:after="0" w:line="240" w:lineRule="auto"/>
        <w:jc w:val="both"/>
      </w:pPr>
    </w:p>
    <w:p w14:paraId="62521DF4" w14:textId="16036409" w:rsidR="006011A3" w:rsidRDefault="006011A3" w:rsidP="00A640C0">
      <w:pPr>
        <w:spacing w:after="0" w:line="240" w:lineRule="auto"/>
        <w:rPr>
          <w:b/>
          <w:bCs/>
        </w:rPr>
      </w:pPr>
      <w:r w:rsidRPr="00A640C0">
        <w:rPr>
          <w:b/>
          <w:bCs/>
        </w:rPr>
        <w:t>Supervisors and Collaborators</w:t>
      </w:r>
    </w:p>
    <w:p w14:paraId="1B21658B" w14:textId="77777777" w:rsidR="00A640C0" w:rsidRPr="00A640C0" w:rsidRDefault="00A640C0" w:rsidP="00A640C0">
      <w:pPr>
        <w:spacing w:after="0" w:line="240" w:lineRule="auto"/>
        <w:rPr>
          <w:b/>
          <w:bCs/>
        </w:rPr>
      </w:pPr>
    </w:p>
    <w:p w14:paraId="3475634B" w14:textId="5A099624" w:rsidR="006011A3" w:rsidRDefault="006011A3" w:rsidP="00A640C0">
      <w:pPr>
        <w:pStyle w:val="ListParagraph"/>
        <w:numPr>
          <w:ilvl w:val="0"/>
          <w:numId w:val="1"/>
        </w:numPr>
        <w:spacing w:after="0" w:line="240" w:lineRule="auto"/>
      </w:pPr>
      <w:r>
        <w:t xml:space="preserve">Nick </w:t>
      </w:r>
      <w:proofErr w:type="spellStart"/>
      <w:r>
        <w:t>Aldred</w:t>
      </w:r>
      <w:proofErr w:type="spellEnd"/>
      <w:r>
        <w:t>, Essex University, UK</w:t>
      </w:r>
    </w:p>
    <w:p w14:paraId="2535C227" w14:textId="3BEDFC14" w:rsidR="006011A3" w:rsidRDefault="006011A3" w:rsidP="00A640C0">
      <w:pPr>
        <w:pStyle w:val="ListParagraph"/>
        <w:numPr>
          <w:ilvl w:val="0"/>
          <w:numId w:val="1"/>
        </w:numPr>
        <w:spacing w:after="0" w:line="240" w:lineRule="auto"/>
      </w:pPr>
      <w:r>
        <w:t>Andy Nelson, Northumbria University, UK</w:t>
      </w:r>
    </w:p>
    <w:p w14:paraId="3B2AC162" w14:textId="3417626C" w:rsidR="006011A3" w:rsidRDefault="006011A3" w:rsidP="00A640C0">
      <w:pPr>
        <w:pStyle w:val="ListParagraph"/>
        <w:numPr>
          <w:ilvl w:val="0"/>
          <w:numId w:val="1"/>
        </w:numPr>
        <w:spacing w:after="0" w:line="240" w:lineRule="auto"/>
      </w:pPr>
      <w:r>
        <w:t>Tom Vance, Plymouth marine laboratory applications ltd. UK</w:t>
      </w:r>
    </w:p>
    <w:p w14:paraId="7092DCAA" w14:textId="4D9AFC88" w:rsidR="006011A3" w:rsidRDefault="006011A3" w:rsidP="00A640C0">
      <w:pPr>
        <w:pStyle w:val="ListParagraph"/>
        <w:numPr>
          <w:ilvl w:val="0"/>
          <w:numId w:val="1"/>
        </w:numPr>
        <w:spacing w:after="0" w:line="240" w:lineRule="auto"/>
      </w:pPr>
      <w:r>
        <w:t>Tony Clare, Newcastle University, UK</w:t>
      </w:r>
    </w:p>
    <w:p w14:paraId="61E9B5D5" w14:textId="06792EE6" w:rsidR="006011A3" w:rsidRDefault="006011A3" w:rsidP="00A640C0">
      <w:pPr>
        <w:pStyle w:val="ListParagraph"/>
        <w:numPr>
          <w:ilvl w:val="0"/>
          <w:numId w:val="1"/>
        </w:numPr>
        <w:spacing w:after="0" w:line="240" w:lineRule="auto"/>
      </w:pPr>
      <w:r>
        <w:t xml:space="preserve">Jem </w:t>
      </w:r>
      <w:proofErr w:type="spellStart"/>
      <w:r>
        <w:t>Stach</w:t>
      </w:r>
      <w:proofErr w:type="spellEnd"/>
      <w:r>
        <w:t>, Newcastle University, UK</w:t>
      </w:r>
    </w:p>
    <w:p w14:paraId="7208D078" w14:textId="6B4148C8" w:rsidR="00A640C0" w:rsidRDefault="00A640C0" w:rsidP="00A640C0">
      <w:pPr>
        <w:pStyle w:val="ListParagraph"/>
        <w:spacing w:after="0" w:line="240" w:lineRule="auto"/>
      </w:pPr>
    </w:p>
    <w:p w14:paraId="4291FED7" w14:textId="77777777" w:rsidR="00A640C0" w:rsidRDefault="00A640C0" w:rsidP="00A640C0">
      <w:pPr>
        <w:pStyle w:val="ListParagraph"/>
        <w:spacing w:after="0" w:line="240" w:lineRule="auto"/>
      </w:pPr>
    </w:p>
    <w:p w14:paraId="3C48A181" w14:textId="46F7EDBB" w:rsidR="006011A3" w:rsidRDefault="006011A3" w:rsidP="00A640C0">
      <w:pPr>
        <w:spacing w:after="0" w:line="240" w:lineRule="auto"/>
        <w:rPr>
          <w:b/>
          <w:bCs/>
        </w:rPr>
      </w:pPr>
      <w:r w:rsidRPr="00A640C0">
        <w:rPr>
          <w:b/>
          <w:bCs/>
        </w:rPr>
        <w:lastRenderedPageBreak/>
        <w:t>Publications</w:t>
      </w:r>
      <w:r w:rsidR="007A7515" w:rsidRPr="00A640C0">
        <w:rPr>
          <w:b/>
          <w:bCs/>
        </w:rPr>
        <w:t xml:space="preserve"> </w:t>
      </w:r>
    </w:p>
    <w:p w14:paraId="306804FD" w14:textId="77777777" w:rsidR="00A640C0" w:rsidRPr="00A640C0" w:rsidRDefault="00A640C0" w:rsidP="00A640C0">
      <w:pPr>
        <w:spacing w:after="0" w:line="240" w:lineRule="auto"/>
        <w:rPr>
          <w:b/>
          <w:bCs/>
        </w:rPr>
      </w:pPr>
    </w:p>
    <w:p w14:paraId="3C79C58F" w14:textId="34B7D561" w:rsidR="00A20A47" w:rsidRDefault="00294FE6" w:rsidP="00A640C0">
      <w:pPr>
        <w:pStyle w:val="ListParagraph"/>
        <w:numPr>
          <w:ilvl w:val="0"/>
          <w:numId w:val="5"/>
        </w:numPr>
        <w:spacing w:after="0" w:line="240" w:lineRule="auto"/>
      </w:pPr>
      <w:proofErr w:type="spellStart"/>
      <w:r w:rsidRPr="00294FE6">
        <w:t>Schardt</w:t>
      </w:r>
      <w:proofErr w:type="spellEnd"/>
      <w:r>
        <w:t>,</w:t>
      </w:r>
      <w:r w:rsidRPr="00294FE6">
        <w:t xml:space="preserve"> L</w:t>
      </w:r>
      <w:r>
        <w:t>.</w:t>
      </w:r>
      <w:r w:rsidRPr="00294FE6">
        <w:t>, Guajardo</w:t>
      </w:r>
      <w:r w:rsidR="00A96305">
        <w:t>,</w:t>
      </w:r>
      <w:r w:rsidRPr="00294FE6">
        <w:t xml:space="preserve"> A</w:t>
      </w:r>
      <w:r w:rsidR="00A96305">
        <w:t>.</w:t>
      </w:r>
      <w:r w:rsidRPr="00294FE6">
        <w:t>M</w:t>
      </w:r>
      <w:r w:rsidR="00A96305">
        <w:t>.</w:t>
      </w:r>
      <w:r w:rsidRPr="00294FE6">
        <w:t xml:space="preserve">, </w:t>
      </w:r>
      <w:proofErr w:type="spellStart"/>
      <w:r w:rsidRPr="00294FE6">
        <w:t>Koc</w:t>
      </w:r>
      <w:proofErr w:type="spellEnd"/>
      <w:r w:rsidR="00A96305">
        <w:t>,</w:t>
      </w:r>
      <w:r w:rsidRPr="00294FE6">
        <w:t xml:space="preserve"> J</w:t>
      </w:r>
      <w:r w:rsidR="00A96305">
        <w:t>.</w:t>
      </w:r>
      <w:r w:rsidRPr="00294FE6">
        <w:t xml:space="preserve">, </w:t>
      </w:r>
      <w:r w:rsidRPr="00294FE6">
        <w:rPr>
          <w:b/>
          <w:bCs/>
        </w:rPr>
        <w:t>Clarke</w:t>
      </w:r>
      <w:r w:rsidR="00A96305">
        <w:rPr>
          <w:b/>
          <w:bCs/>
        </w:rPr>
        <w:t>,</w:t>
      </w:r>
      <w:r w:rsidRPr="00294FE6">
        <w:rPr>
          <w:b/>
          <w:bCs/>
        </w:rPr>
        <w:t xml:space="preserve"> J</w:t>
      </w:r>
      <w:r w:rsidR="00A96305">
        <w:rPr>
          <w:b/>
          <w:bCs/>
        </w:rPr>
        <w:t>.</w:t>
      </w:r>
      <w:r w:rsidRPr="00294FE6">
        <w:rPr>
          <w:b/>
          <w:bCs/>
        </w:rPr>
        <w:t>L</w:t>
      </w:r>
      <w:r w:rsidR="00A96305">
        <w:rPr>
          <w:b/>
          <w:bCs/>
        </w:rPr>
        <w:t>.</w:t>
      </w:r>
      <w:r w:rsidRPr="00294FE6">
        <w:t>, Finlay</w:t>
      </w:r>
      <w:r w:rsidR="00A96305">
        <w:t>,</w:t>
      </w:r>
      <w:r w:rsidRPr="00294FE6">
        <w:t xml:space="preserve"> J</w:t>
      </w:r>
      <w:r w:rsidR="00A96305">
        <w:t>.</w:t>
      </w:r>
      <w:r w:rsidRPr="00294FE6">
        <w:t>A</w:t>
      </w:r>
      <w:r w:rsidR="00A96305">
        <w:t>.</w:t>
      </w:r>
      <w:r w:rsidRPr="00294FE6">
        <w:t>, Clare</w:t>
      </w:r>
      <w:r w:rsidR="00A96305">
        <w:t>,</w:t>
      </w:r>
      <w:r w:rsidRPr="00294FE6">
        <w:t xml:space="preserve"> A</w:t>
      </w:r>
      <w:r w:rsidR="00A96305">
        <w:t>.</w:t>
      </w:r>
      <w:r w:rsidRPr="00294FE6">
        <w:t>S</w:t>
      </w:r>
      <w:r w:rsidR="00A96305">
        <w:t>.</w:t>
      </w:r>
      <w:r w:rsidRPr="00294FE6">
        <w:t>, Gardner</w:t>
      </w:r>
      <w:r w:rsidR="00A96305">
        <w:t>,</w:t>
      </w:r>
      <w:r w:rsidRPr="00294FE6">
        <w:t xml:space="preserve"> H</w:t>
      </w:r>
      <w:r w:rsidR="00A96305">
        <w:t>.</w:t>
      </w:r>
      <w:r w:rsidRPr="00294FE6">
        <w:t>, Swain</w:t>
      </w:r>
      <w:r w:rsidR="00A96305">
        <w:t>,</w:t>
      </w:r>
      <w:r w:rsidRPr="00294FE6">
        <w:t xml:space="preserve"> G</w:t>
      </w:r>
      <w:r w:rsidR="00A96305">
        <w:t>.</w:t>
      </w:r>
      <w:r w:rsidRPr="00294FE6">
        <w:t>W</w:t>
      </w:r>
      <w:r w:rsidR="00A96305">
        <w:t>.</w:t>
      </w:r>
      <w:r w:rsidRPr="00294FE6">
        <w:t xml:space="preserve">, </w:t>
      </w:r>
      <w:proofErr w:type="spellStart"/>
      <w:r w:rsidRPr="00294FE6">
        <w:t>Hunsucker</w:t>
      </w:r>
      <w:proofErr w:type="spellEnd"/>
      <w:r w:rsidR="00A96305">
        <w:t>,</w:t>
      </w:r>
      <w:r w:rsidRPr="00294FE6">
        <w:t xml:space="preserve"> K</w:t>
      </w:r>
      <w:r w:rsidR="00A96305">
        <w:t>.</w:t>
      </w:r>
      <w:r w:rsidRPr="00294FE6">
        <w:t xml:space="preserve">, </w:t>
      </w:r>
      <w:proofErr w:type="spellStart"/>
      <w:r w:rsidRPr="00294FE6">
        <w:t>Laschewsky</w:t>
      </w:r>
      <w:proofErr w:type="spellEnd"/>
      <w:r w:rsidR="00A96305">
        <w:t>,</w:t>
      </w:r>
      <w:r w:rsidRPr="00294FE6">
        <w:t xml:space="preserve"> A</w:t>
      </w:r>
      <w:r w:rsidR="00A96305">
        <w:t>.</w:t>
      </w:r>
      <w:r w:rsidRPr="00294FE6">
        <w:t xml:space="preserve">, </w:t>
      </w:r>
      <w:proofErr w:type="spellStart"/>
      <w:r w:rsidRPr="00294FE6">
        <w:t>Rosenhahn</w:t>
      </w:r>
      <w:proofErr w:type="spellEnd"/>
      <w:r w:rsidR="00A96305">
        <w:t>,</w:t>
      </w:r>
      <w:r w:rsidRPr="00294FE6">
        <w:t xml:space="preserve"> A</w:t>
      </w:r>
      <w:r>
        <w:t>.</w:t>
      </w:r>
      <w:r w:rsidR="00D626EE">
        <w:t xml:space="preserve"> </w:t>
      </w:r>
      <w:r w:rsidR="00A20A47" w:rsidRPr="00294FE6">
        <w:rPr>
          <w:b/>
          <w:bCs/>
        </w:rPr>
        <w:t xml:space="preserve">Low fouling </w:t>
      </w:r>
      <w:proofErr w:type="spellStart"/>
      <w:r w:rsidR="00A20A47" w:rsidRPr="00294FE6">
        <w:rPr>
          <w:b/>
          <w:bCs/>
        </w:rPr>
        <w:t>polysulfobetaines</w:t>
      </w:r>
      <w:proofErr w:type="spellEnd"/>
      <w:r w:rsidR="00A20A47" w:rsidRPr="00294FE6">
        <w:rPr>
          <w:b/>
          <w:bCs/>
        </w:rPr>
        <w:t xml:space="preserve"> with variable hydrophobic content</w:t>
      </w:r>
      <w:r w:rsidR="00A20A47">
        <w:t>. Macromolecular Rapid Communications</w:t>
      </w:r>
      <w:r w:rsidR="002E1428">
        <w:t xml:space="preserve">. </w:t>
      </w:r>
      <w:r w:rsidR="00EA285B">
        <w:t>In Press. (2021)</w:t>
      </w:r>
    </w:p>
    <w:p w14:paraId="3F93C7A4" w14:textId="77777777" w:rsidR="00A20A47" w:rsidRDefault="00A20A47" w:rsidP="00A640C0">
      <w:pPr>
        <w:pStyle w:val="ListParagraph"/>
        <w:spacing w:after="0" w:line="240" w:lineRule="auto"/>
      </w:pPr>
    </w:p>
    <w:p w14:paraId="4C63B966" w14:textId="4E890C38" w:rsidR="00696959" w:rsidRDefault="00516B4B" w:rsidP="00A640C0">
      <w:pPr>
        <w:pStyle w:val="ListParagraph"/>
        <w:numPr>
          <w:ilvl w:val="0"/>
          <w:numId w:val="3"/>
        </w:numPr>
        <w:spacing w:after="0" w:line="240" w:lineRule="auto"/>
      </w:pPr>
      <w:r>
        <w:t xml:space="preserve">Barry, M. E., Davidson, E. C., Zhang, C., Patterson, A. L., Yu, B., Leonardi, A. K., </w:t>
      </w:r>
      <w:proofErr w:type="spellStart"/>
      <w:r>
        <w:t>Duzen</w:t>
      </w:r>
      <w:proofErr w:type="spellEnd"/>
      <w:r>
        <w:t xml:space="preserve">, N., </w:t>
      </w:r>
      <w:proofErr w:type="spellStart"/>
      <w:r>
        <w:t>Malaviya</w:t>
      </w:r>
      <w:proofErr w:type="spellEnd"/>
      <w:r>
        <w:t xml:space="preserve">, K., </w:t>
      </w:r>
      <w:r w:rsidRPr="00657A37">
        <w:rPr>
          <w:b/>
          <w:bCs/>
        </w:rPr>
        <w:t>Clarke, J. L.,</w:t>
      </w:r>
      <w:r>
        <w:t xml:space="preserve"> Finlay, J. A., Clare, A. S., Chen, Z., Ober, C. K., &amp; </w:t>
      </w:r>
      <w:proofErr w:type="spellStart"/>
      <w:r>
        <w:t>Segalman</w:t>
      </w:r>
      <w:proofErr w:type="spellEnd"/>
      <w:r>
        <w:t>, R. A. (2019).</w:t>
      </w:r>
      <w:r w:rsidRPr="00657A37">
        <w:rPr>
          <w:b/>
          <w:bCs/>
        </w:rPr>
        <w:t xml:space="preserve"> The Role of Hydrogen Bonding in </w:t>
      </w:r>
      <w:proofErr w:type="spellStart"/>
      <w:r w:rsidRPr="00657A37">
        <w:rPr>
          <w:b/>
          <w:bCs/>
        </w:rPr>
        <w:t>Peptoid</w:t>
      </w:r>
      <w:proofErr w:type="spellEnd"/>
      <w:r w:rsidRPr="00657A37">
        <w:rPr>
          <w:b/>
          <w:bCs/>
        </w:rPr>
        <w:t>-Based Marine Antifouling Coating</w:t>
      </w:r>
      <w:r w:rsidR="00657A37" w:rsidRPr="00657A37">
        <w:rPr>
          <w:b/>
          <w:bCs/>
        </w:rPr>
        <w:t>s</w:t>
      </w:r>
      <w:r w:rsidRPr="00657A37">
        <w:rPr>
          <w:b/>
          <w:bCs/>
        </w:rPr>
        <w:t xml:space="preserve">. </w:t>
      </w:r>
      <w:r w:rsidRPr="00657A37">
        <w:rPr>
          <w:i/>
          <w:iCs/>
        </w:rPr>
        <w:t>Macromolecules,</w:t>
      </w:r>
      <w:r>
        <w:t xml:space="preserve"> 52(3), 1287–1295. </w:t>
      </w:r>
      <w:hyperlink r:id="rId10" w:history="1">
        <w:r w:rsidR="00696959" w:rsidRPr="003339F5">
          <w:rPr>
            <w:rStyle w:val="Hyperlink"/>
          </w:rPr>
          <w:t>https://doi.org/10.1021/acs.macromol.8b02390</w:t>
        </w:r>
      </w:hyperlink>
    </w:p>
    <w:p w14:paraId="7AA695CC" w14:textId="77777777" w:rsidR="00852760" w:rsidRDefault="00852760" w:rsidP="00A640C0">
      <w:pPr>
        <w:pStyle w:val="ListParagraph"/>
        <w:spacing w:after="0" w:line="240" w:lineRule="auto"/>
      </w:pPr>
    </w:p>
    <w:p w14:paraId="63738C41" w14:textId="6A5C22C1" w:rsidR="00852760" w:rsidRDefault="00516B4B" w:rsidP="00A640C0">
      <w:pPr>
        <w:pStyle w:val="ListParagraph"/>
        <w:numPr>
          <w:ilvl w:val="0"/>
          <w:numId w:val="3"/>
        </w:numPr>
        <w:spacing w:after="0" w:line="240" w:lineRule="auto"/>
      </w:pPr>
      <w:r w:rsidRPr="00696959">
        <w:rPr>
          <w:b/>
          <w:bCs/>
        </w:rPr>
        <w:t>Clarke, J. L.,</w:t>
      </w:r>
      <w:r>
        <w:t xml:space="preserve"> Davey, P. A., </w:t>
      </w:r>
      <w:proofErr w:type="spellStart"/>
      <w:r>
        <w:t>Aldred</w:t>
      </w:r>
      <w:proofErr w:type="spellEnd"/>
      <w:r>
        <w:t xml:space="preserve">, N., &amp; </w:t>
      </w:r>
      <w:proofErr w:type="spellStart"/>
      <w:r>
        <w:t>Aldred</w:t>
      </w:r>
      <w:proofErr w:type="spellEnd"/>
      <w:r>
        <w:t xml:space="preserve">, N. (2020). </w:t>
      </w:r>
      <w:r w:rsidRPr="00696959">
        <w:rPr>
          <w:b/>
          <w:bCs/>
        </w:rPr>
        <w:t>Sea anemones (</w:t>
      </w:r>
      <w:proofErr w:type="spellStart"/>
      <w:r w:rsidRPr="00696959">
        <w:rPr>
          <w:b/>
          <w:bCs/>
          <w:i/>
          <w:iCs/>
        </w:rPr>
        <w:t>Exaiptasia</w:t>
      </w:r>
      <w:proofErr w:type="spellEnd"/>
      <w:r w:rsidRPr="00696959">
        <w:rPr>
          <w:b/>
          <w:bCs/>
          <w:i/>
          <w:iCs/>
        </w:rPr>
        <w:t xml:space="preserve"> pallida)</w:t>
      </w:r>
      <w:r w:rsidRPr="00696959">
        <w:rPr>
          <w:b/>
          <w:bCs/>
        </w:rPr>
        <w:t xml:space="preserve"> use a secreted adhesive and complex pedal disc morphology for surface attachment</w:t>
      </w:r>
      <w:r>
        <w:t xml:space="preserve">. </w:t>
      </w:r>
      <w:r w:rsidRPr="00696959">
        <w:rPr>
          <w:i/>
          <w:iCs/>
        </w:rPr>
        <w:t>BMC Zoology</w:t>
      </w:r>
      <w:r>
        <w:t xml:space="preserve">, 5(1), 1–13. </w:t>
      </w:r>
      <w:hyperlink r:id="rId11" w:history="1">
        <w:r w:rsidR="00696959" w:rsidRPr="003339F5">
          <w:rPr>
            <w:rStyle w:val="Hyperlink"/>
          </w:rPr>
          <w:t>https://doi.org/10.1186/s40850-020-00054-6</w:t>
        </w:r>
      </w:hyperlink>
    </w:p>
    <w:p w14:paraId="6BAE24BF" w14:textId="77777777" w:rsidR="00852760" w:rsidRDefault="00852760" w:rsidP="00A640C0">
      <w:pPr>
        <w:spacing w:after="0" w:line="240" w:lineRule="auto"/>
      </w:pPr>
    </w:p>
    <w:p w14:paraId="49F671B3" w14:textId="320D2795" w:rsidR="00696959" w:rsidRDefault="00516B4B" w:rsidP="00A640C0">
      <w:pPr>
        <w:pStyle w:val="ListParagraph"/>
        <w:numPr>
          <w:ilvl w:val="0"/>
          <w:numId w:val="3"/>
        </w:numPr>
        <w:spacing w:after="0" w:line="240" w:lineRule="auto"/>
      </w:pPr>
      <w:r>
        <w:t xml:space="preserve">Davey, P. A., Power, A. M., Santos, R., </w:t>
      </w:r>
      <w:proofErr w:type="spellStart"/>
      <w:r>
        <w:t>Bertemes</w:t>
      </w:r>
      <w:proofErr w:type="spellEnd"/>
      <w:r>
        <w:t xml:space="preserve">, P., </w:t>
      </w:r>
      <w:proofErr w:type="spellStart"/>
      <w:r>
        <w:t>Ladurner</w:t>
      </w:r>
      <w:proofErr w:type="spellEnd"/>
      <w:r>
        <w:t xml:space="preserve">, P., </w:t>
      </w:r>
      <w:proofErr w:type="spellStart"/>
      <w:r>
        <w:t>Palmowski</w:t>
      </w:r>
      <w:proofErr w:type="spellEnd"/>
      <w:r>
        <w:t xml:space="preserve">, P., </w:t>
      </w:r>
      <w:r w:rsidRPr="00696959">
        <w:rPr>
          <w:b/>
          <w:bCs/>
        </w:rPr>
        <w:t>Clarke, J</w:t>
      </w:r>
      <w:r>
        <w:t xml:space="preserve">., </w:t>
      </w:r>
      <w:proofErr w:type="spellStart"/>
      <w:r>
        <w:t>Flammang</w:t>
      </w:r>
      <w:proofErr w:type="spellEnd"/>
      <w:r>
        <w:t xml:space="preserve">, P., </w:t>
      </w:r>
      <w:proofErr w:type="spellStart"/>
      <w:r>
        <w:t>Lengerer</w:t>
      </w:r>
      <w:proofErr w:type="spellEnd"/>
      <w:r>
        <w:t xml:space="preserve">, B., </w:t>
      </w:r>
      <w:proofErr w:type="spellStart"/>
      <w:r>
        <w:t>Hennebert</w:t>
      </w:r>
      <w:proofErr w:type="spellEnd"/>
      <w:r>
        <w:t xml:space="preserve">, E., </w:t>
      </w:r>
      <w:proofErr w:type="spellStart"/>
      <w:r>
        <w:t>Rothbächer</w:t>
      </w:r>
      <w:proofErr w:type="spellEnd"/>
      <w:r>
        <w:t xml:space="preserve">, U., </w:t>
      </w:r>
      <w:proofErr w:type="spellStart"/>
      <w:r>
        <w:t>Pjeta</w:t>
      </w:r>
      <w:proofErr w:type="spellEnd"/>
      <w:r>
        <w:t xml:space="preserve">, R., </w:t>
      </w:r>
      <w:proofErr w:type="spellStart"/>
      <w:r>
        <w:t>Wunderer</w:t>
      </w:r>
      <w:proofErr w:type="spellEnd"/>
      <w:r>
        <w:t xml:space="preserve">, J., </w:t>
      </w:r>
      <w:proofErr w:type="spellStart"/>
      <w:r>
        <w:t>Zurovec</w:t>
      </w:r>
      <w:proofErr w:type="spellEnd"/>
      <w:r>
        <w:t xml:space="preserve">, M., &amp; </w:t>
      </w:r>
      <w:proofErr w:type="spellStart"/>
      <w:r>
        <w:t>Aldred</w:t>
      </w:r>
      <w:proofErr w:type="spellEnd"/>
      <w:r>
        <w:t xml:space="preserve">, N. (2021). </w:t>
      </w:r>
      <w:r w:rsidRPr="00696959">
        <w:rPr>
          <w:b/>
          <w:bCs/>
        </w:rPr>
        <w:t>Omics-based molecular analyses of adhesion by aquatic invertebrates.</w:t>
      </w:r>
      <w:r>
        <w:t xml:space="preserve"> </w:t>
      </w:r>
      <w:r w:rsidRPr="00696959">
        <w:rPr>
          <w:i/>
          <w:iCs/>
        </w:rPr>
        <w:t>Biological Reviews,</w:t>
      </w:r>
      <w:r>
        <w:t xml:space="preserve"> 96(3), 1051–1075. </w:t>
      </w:r>
      <w:hyperlink r:id="rId12" w:history="1">
        <w:r w:rsidR="00696959" w:rsidRPr="003339F5">
          <w:rPr>
            <w:rStyle w:val="Hyperlink"/>
          </w:rPr>
          <w:t>https://doi.org/10.1111/brv.12691</w:t>
        </w:r>
      </w:hyperlink>
    </w:p>
    <w:p w14:paraId="3DB4603D" w14:textId="77777777" w:rsidR="00852760" w:rsidRDefault="00852760" w:rsidP="00A640C0">
      <w:pPr>
        <w:spacing w:after="0" w:line="240" w:lineRule="auto"/>
      </w:pPr>
    </w:p>
    <w:p w14:paraId="6E044286" w14:textId="7FE3914E" w:rsidR="00696959" w:rsidRDefault="00516B4B" w:rsidP="00A640C0">
      <w:pPr>
        <w:pStyle w:val="ListParagraph"/>
        <w:numPr>
          <w:ilvl w:val="0"/>
          <w:numId w:val="3"/>
        </w:numPr>
        <w:spacing w:after="0" w:line="240" w:lineRule="auto"/>
      </w:pPr>
      <w:r>
        <w:t xml:space="preserve">Davey, P. A., Rodrigues, M., </w:t>
      </w:r>
      <w:r w:rsidRPr="00696959">
        <w:rPr>
          <w:b/>
          <w:bCs/>
        </w:rPr>
        <w:t>Clarke, J. L.,</w:t>
      </w:r>
      <w:r>
        <w:t xml:space="preserve"> &amp; </w:t>
      </w:r>
      <w:proofErr w:type="spellStart"/>
      <w:r>
        <w:t>Aldred</w:t>
      </w:r>
      <w:proofErr w:type="spellEnd"/>
      <w:r>
        <w:t>, N. (2019</w:t>
      </w:r>
      <w:r w:rsidRPr="00696959">
        <w:rPr>
          <w:b/>
          <w:bCs/>
        </w:rPr>
        <w:t xml:space="preserve">). Transcriptional characterisation of the </w:t>
      </w:r>
      <w:proofErr w:type="spellStart"/>
      <w:r w:rsidRPr="00696959">
        <w:rPr>
          <w:b/>
          <w:bCs/>
        </w:rPr>
        <w:t>Exaiptasia</w:t>
      </w:r>
      <w:proofErr w:type="spellEnd"/>
      <w:r w:rsidRPr="00696959">
        <w:rPr>
          <w:b/>
          <w:bCs/>
        </w:rPr>
        <w:t xml:space="preserve"> pallida pedal disc</w:t>
      </w:r>
      <w:r>
        <w:t xml:space="preserve">. </w:t>
      </w:r>
      <w:r w:rsidRPr="00696959">
        <w:rPr>
          <w:i/>
          <w:iCs/>
        </w:rPr>
        <w:t>BMC Genomics</w:t>
      </w:r>
      <w:r>
        <w:t>, 20(581), 1–15.</w:t>
      </w:r>
    </w:p>
    <w:p w14:paraId="584A4CAE" w14:textId="77777777" w:rsidR="00852760" w:rsidRDefault="00852760" w:rsidP="00A640C0">
      <w:pPr>
        <w:spacing w:after="0" w:line="240" w:lineRule="auto"/>
      </w:pPr>
    </w:p>
    <w:p w14:paraId="05D3454E" w14:textId="526664D3" w:rsidR="00696959" w:rsidRDefault="00516B4B" w:rsidP="00A640C0">
      <w:pPr>
        <w:pStyle w:val="ListParagraph"/>
        <w:numPr>
          <w:ilvl w:val="0"/>
          <w:numId w:val="3"/>
        </w:numPr>
        <w:spacing w:after="0" w:line="240" w:lineRule="auto"/>
      </w:pPr>
      <w:proofErr w:type="spellStart"/>
      <w:r>
        <w:t>Koc</w:t>
      </w:r>
      <w:proofErr w:type="spellEnd"/>
      <w:r>
        <w:t xml:space="preserve">, J., </w:t>
      </w:r>
      <w:proofErr w:type="spellStart"/>
      <w:r>
        <w:t>Schardt</w:t>
      </w:r>
      <w:proofErr w:type="spellEnd"/>
      <w:r>
        <w:t xml:space="preserve">, L., Nolte, K., Beyer, C., </w:t>
      </w:r>
      <w:proofErr w:type="spellStart"/>
      <w:r>
        <w:t>Eckhard</w:t>
      </w:r>
      <w:proofErr w:type="spellEnd"/>
      <w:r>
        <w:t xml:space="preserve">, T., </w:t>
      </w:r>
      <w:proofErr w:type="spellStart"/>
      <w:r>
        <w:t>Schwiderowski</w:t>
      </w:r>
      <w:proofErr w:type="spellEnd"/>
      <w:r>
        <w:t xml:space="preserve">, P., </w:t>
      </w:r>
      <w:r w:rsidRPr="00696959">
        <w:rPr>
          <w:b/>
          <w:bCs/>
        </w:rPr>
        <w:t>Clarke, J. L.,</w:t>
      </w:r>
      <w:r>
        <w:t xml:space="preserve"> Finlay, J. A., Clare, A. S., </w:t>
      </w:r>
      <w:proofErr w:type="spellStart"/>
      <w:r>
        <w:t>Muhler</w:t>
      </w:r>
      <w:proofErr w:type="spellEnd"/>
      <w:r>
        <w:t xml:space="preserve">, M., </w:t>
      </w:r>
      <w:proofErr w:type="spellStart"/>
      <w:r>
        <w:t>Laschewsky</w:t>
      </w:r>
      <w:proofErr w:type="spellEnd"/>
      <w:r>
        <w:t xml:space="preserve">, A., &amp; </w:t>
      </w:r>
      <w:proofErr w:type="spellStart"/>
      <w:r>
        <w:t>Rosenhahn</w:t>
      </w:r>
      <w:proofErr w:type="spellEnd"/>
      <w:r>
        <w:t xml:space="preserve">, A. (2020). </w:t>
      </w:r>
      <w:r w:rsidRPr="00696959">
        <w:rPr>
          <w:b/>
          <w:bCs/>
        </w:rPr>
        <w:t>Effect of Dipole Orientation in Mixed, Charge-Equilibrated Self-assembled Monolayers on Protein Adsorption and Marine Biofouling</w:t>
      </w:r>
      <w:r>
        <w:t xml:space="preserve">. </w:t>
      </w:r>
      <w:r w:rsidRPr="00696959">
        <w:rPr>
          <w:i/>
          <w:iCs/>
        </w:rPr>
        <w:t>ACS Applied Materials and Interfaces</w:t>
      </w:r>
      <w:r>
        <w:t xml:space="preserve">, 12(45), 50953–50961. </w:t>
      </w:r>
      <w:hyperlink r:id="rId13" w:history="1">
        <w:r w:rsidR="00696959" w:rsidRPr="003339F5">
          <w:rPr>
            <w:rStyle w:val="Hyperlink"/>
          </w:rPr>
          <w:t>https://doi.org/10.1021/acsami.0c11580</w:t>
        </w:r>
      </w:hyperlink>
    </w:p>
    <w:p w14:paraId="3D36D34F" w14:textId="77777777" w:rsidR="00852760" w:rsidRDefault="00852760" w:rsidP="00A640C0">
      <w:pPr>
        <w:spacing w:after="0" w:line="240" w:lineRule="auto"/>
      </w:pPr>
    </w:p>
    <w:p w14:paraId="3FB95CE0" w14:textId="5331C585" w:rsidR="00696959" w:rsidRDefault="00516B4B" w:rsidP="00A640C0">
      <w:pPr>
        <w:pStyle w:val="ListParagraph"/>
        <w:numPr>
          <w:ilvl w:val="0"/>
          <w:numId w:val="3"/>
        </w:numPr>
        <w:spacing w:after="0" w:line="240" w:lineRule="auto"/>
      </w:pPr>
      <w:proofErr w:type="spellStart"/>
      <w:r>
        <w:t>Koc</w:t>
      </w:r>
      <w:proofErr w:type="spellEnd"/>
      <w:r>
        <w:t xml:space="preserve">, J., </w:t>
      </w:r>
      <w:proofErr w:type="spellStart"/>
      <w:r>
        <w:t>Schönemann</w:t>
      </w:r>
      <w:proofErr w:type="spellEnd"/>
      <w:r>
        <w:t xml:space="preserve">, E., </w:t>
      </w:r>
      <w:proofErr w:type="spellStart"/>
      <w:r>
        <w:t>Amuthalingam</w:t>
      </w:r>
      <w:proofErr w:type="spellEnd"/>
      <w:r>
        <w:t xml:space="preserve">, A., </w:t>
      </w:r>
      <w:r w:rsidRPr="00696959">
        <w:rPr>
          <w:b/>
          <w:bCs/>
        </w:rPr>
        <w:t>Clarke, J.,</w:t>
      </w:r>
      <w:r>
        <w:t xml:space="preserve"> Finlay, J. A., Clare, A. S., </w:t>
      </w:r>
      <w:proofErr w:type="spellStart"/>
      <w:r>
        <w:t>Laschewsky</w:t>
      </w:r>
      <w:proofErr w:type="spellEnd"/>
      <w:r>
        <w:t xml:space="preserve">, A., &amp; </w:t>
      </w:r>
      <w:proofErr w:type="spellStart"/>
      <w:r>
        <w:t>Rosenhahn</w:t>
      </w:r>
      <w:proofErr w:type="spellEnd"/>
      <w:r>
        <w:t xml:space="preserve">, A. (2019). </w:t>
      </w:r>
      <w:r w:rsidRPr="00696959">
        <w:rPr>
          <w:b/>
          <w:bCs/>
        </w:rPr>
        <w:t>Low-Fouling Thin Hydrogel Coatings Made of Photo-Cross-Linked Polyzwitterions</w:t>
      </w:r>
      <w:r>
        <w:t xml:space="preserve">. </w:t>
      </w:r>
      <w:r w:rsidRPr="00696959">
        <w:rPr>
          <w:i/>
          <w:iCs/>
        </w:rPr>
        <w:t>Langmuir</w:t>
      </w:r>
      <w:r>
        <w:t xml:space="preserve">, 35(5), 1552–1562. </w:t>
      </w:r>
      <w:hyperlink r:id="rId14" w:history="1">
        <w:r w:rsidR="00696959" w:rsidRPr="003339F5">
          <w:rPr>
            <w:rStyle w:val="Hyperlink"/>
          </w:rPr>
          <w:t>https://doi.org/10.1021/acs.langmuir.8b02799</w:t>
        </w:r>
      </w:hyperlink>
    </w:p>
    <w:p w14:paraId="37735A81" w14:textId="77777777" w:rsidR="00852760" w:rsidRDefault="00852760" w:rsidP="00A640C0">
      <w:pPr>
        <w:spacing w:after="0" w:line="240" w:lineRule="auto"/>
      </w:pPr>
    </w:p>
    <w:p w14:paraId="4BB79C6A" w14:textId="77EF491D" w:rsidR="00696959" w:rsidRDefault="00516B4B" w:rsidP="00A640C0">
      <w:pPr>
        <w:pStyle w:val="ListParagraph"/>
        <w:numPr>
          <w:ilvl w:val="0"/>
          <w:numId w:val="3"/>
        </w:numPr>
        <w:spacing w:after="0" w:line="240" w:lineRule="auto"/>
      </w:pPr>
      <w:r>
        <w:t xml:space="preserve">Leonardi, A., Zhang, A. C., </w:t>
      </w:r>
      <w:proofErr w:type="spellStart"/>
      <w:r>
        <w:t>Düzen</w:t>
      </w:r>
      <w:proofErr w:type="spellEnd"/>
      <w:r>
        <w:t xml:space="preserve">, N., </w:t>
      </w:r>
      <w:proofErr w:type="spellStart"/>
      <w:r>
        <w:t>Aldred</w:t>
      </w:r>
      <w:proofErr w:type="spellEnd"/>
      <w:r>
        <w:t xml:space="preserve">, N., Finlay, J. A., </w:t>
      </w:r>
      <w:r w:rsidRPr="00696959">
        <w:rPr>
          <w:b/>
          <w:bCs/>
        </w:rPr>
        <w:t>Clarke, J. L.,</w:t>
      </w:r>
      <w:r>
        <w:t xml:space="preserve"> Clare, A. S., </w:t>
      </w:r>
      <w:proofErr w:type="spellStart"/>
      <w:r>
        <w:t>Segalman</w:t>
      </w:r>
      <w:proofErr w:type="spellEnd"/>
      <w:r>
        <w:t>, R. A., &amp; Ober, C. K. (2021</w:t>
      </w:r>
      <w:r w:rsidRPr="00696959">
        <w:rPr>
          <w:b/>
          <w:bCs/>
        </w:rPr>
        <w:t>). Amphiphilic Nitroxide-Bearing Siloxane-Based Block Copolymer Coatings for Enhanced Marine Fouling Release</w:t>
      </w:r>
      <w:r>
        <w:t xml:space="preserve">. </w:t>
      </w:r>
      <w:r w:rsidRPr="00696959">
        <w:rPr>
          <w:i/>
          <w:iCs/>
        </w:rPr>
        <w:t>ACS Applied Materials &amp; Interfaces</w:t>
      </w:r>
      <w:r>
        <w:t xml:space="preserve">, 13(24), 28790–28801. </w:t>
      </w:r>
      <w:hyperlink r:id="rId15" w:history="1">
        <w:r w:rsidR="00696959" w:rsidRPr="003339F5">
          <w:rPr>
            <w:rStyle w:val="Hyperlink"/>
          </w:rPr>
          <w:t>https://doi.org/10.1021/acsami.1c05266</w:t>
        </w:r>
      </w:hyperlink>
    </w:p>
    <w:p w14:paraId="31D4C7DC" w14:textId="77777777" w:rsidR="00852760" w:rsidRDefault="00852760" w:rsidP="00A640C0">
      <w:pPr>
        <w:spacing w:after="0" w:line="240" w:lineRule="auto"/>
      </w:pPr>
    </w:p>
    <w:p w14:paraId="7792F300" w14:textId="0F64EA59" w:rsidR="003D694E" w:rsidRDefault="00516B4B" w:rsidP="00A640C0">
      <w:pPr>
        <w:pStyle w:val="ListParagraph"/>
        <w:numPr>
          <w:ilvl w:val="0"/>
          <w:numId w:val="3"/>
        </w:numPr>
        <w:spacing w:after="0" w:line="240" w:lineRule="auto"/>
      </w:pPr>
      <w:r>
        <w:t xml:space="preserve">Lo Giudice Cappelli, E., </w:t>
      </w:r>
      <w:r w:rsidRPr="00696959">
        <w:rPr>
          <w:b/>
          <w:bCs/>
        </w:rPr>
        <w:t>Clarke, J.</w:t>
      </w:r>
      <w:r w:rsidR="003D694E">
        <w:rPr>
          <w:b/>
          <w:bCs/>
        </w:rPr>
        <w:t>L</w:t>
      </w:r>
      <w:r w:rsidRPr="00696959">
        <w:rPr>
          <w:b/>
          <w:bCs/>
        </w:rPr>
        <w:t>,</w:t>
      </w:r>
      <w:r>
        <w:t xml:space="preserve"> Smeaton, C., Davidson, K., &amp; Austin, W.</w:t>
      </w:r>
      <w:r w:rsidR="003D694E">
        <w:t>E.N</w:t>
      </w:r>
      <w:r>
        <w:t xml:space="preserve"> (2019). </w:t>
      </w:r>
      <w:r w:rsidRPr="003D694E">
        <w:rPr>
          <w:b/>
          <w:bCs/>
        </w:rPr>
        <w:t>Organic-carbon-rich sediments: Benthic foraminifera as bio-indicators of depositional environments</w:t>
      </w:r>
      <w:r>
        <w:t xml:space="preserve">. </w:t>
      </w:r>
      <w:proofErr w:type="spellStart"/>
      <w:r w:rsidRPr="003D694E">
        <w:rPr>
          <w:i/>
          <w:iCs/>
        </w:rPr>
        <w:t>Biogeosciences</w:t>
      </w:r>
      <w:proofErr w:type="spellEnd"/>
      <w:r>
        <w:t xml:space="preserve">, 16(21), 4183–4199. </w:t>
      </w:r>
      <w:hyperlink r:id="rId16" w:history="1">
        <w:r w:rsidR="003D694E" w:rsidRPr="003339F5">
          <w:rPr>
            <w:rStyle w:val="Hyperlink"/>
          </w:rPr>
          <w:t>https://doi.org/10.5194/bg-16-4183-2019</w:t>
        </w:r>
      </w:hyperlink>
    </w:p>
    <w:p w14:paraId="2D7F0F1B" w14:textId="77777777" w:rsidR="00852760" w:rsidRDefault="00852760" w:rsidP="00A640C0">
      <w:pPr>
        <w:spacing w:after="0" w:line="240" w:lineRule="auto"/>
      </w:pPr>
    </w:p>
    <w:p w14:paraId="635A524A" w14:textId="577E146C" w:rsidR="003D694E" w:rsidRDefault="00516B4B" w:rsidP="00A640C0">
      <w:pPr>
        <w:pStyle w:val="ListParagraph"/>
        <w:numPr>
          <w:ilvl w:val="0"/>
          <w:numId w:val="3"/>
        </w:numPr>
        <w:spacing w:after="0" w:line="240" w:lineRule="auto"/>
      </w:pPr>
      <w:proofErr w:type="spellStart"/>
      <w:r>
        <w:t>Wanka</w:t>
      </w:r>
      <w:proofErr w:type="spellEnd"/>
      <w:r>
        <w:t xml:space="preserve">, R., </w:t>
      </w:r>
      <w:proofErr w:type="spellStart"/>
      <w:r>
        <w:t>Aldred</w:t>
      </w:r>
      <w:proofErr w:type="spellEnd"/>
      <w:r>
        <w:t xml:space="preserve">, N., Finlay, J. A., </w:t>
      </w:r>
      <w:proofErr w:type="spellStart"/>
      <w:r>
        <w:t>Amuthalingam</w:t>
      </w:r>
      <w:proofErr w:type="spellEnd"/>
      <w:r>
        <w:t xml:space="preserve">, A., </w:t>
      </w:r>
      <w:r w:rsidRPr="003D694E">
        <w:rPr>
          <w:b/>
          <w:bCs/>
        </w:rPr>
        <w:t>Clarke, J. L</w:t>
      </w:r>
      <w:r>
        <w:t xml:space="preserve">., Clare, A. S., &amp; </w:t>
      </w:r>
      <w:proofErr w:type="spellStart"/>
      <w:r>
        <w:t>Rosenhahn</w:t>
      </w:r>
      <w:proofErr w:type="spellEnd"/>
      <w:r>
        <w:t xml:space="preserve">, A. (2019). </w:t>
      </w:r>
      <w:r w:rsidRPr="003D694E">
        <w:rPr>
          <w:b/>
          <w:bCs/>
        </w:rPr>
        <w:t>Antifouling Properties of Dendritic Polyglycerols against Marine Macrofouling Organisms</w:t>
      </w:r>
      <w:r>
        <w:t xml:space="preserve">. </w:t>
      </w:r>
      <w:r w:rsidRPr="003D694E">
        <w:rPr>
          <w:i/>
          <w:iCs/>
        </w:rPr>
        <w:t>Langmuir</w:t>
      </w:r>
      <w:r>
        <w:t xml:space="preserve">, 35(50), 16568–16575. </w:t>
      </w:r>
      <w:hyperlink r:id="rId17" w:history="1">
        <w:r w:rsidR="003D694E" w:rsidRPr="003339F5">
          <w:rPr>
            <w:rStyle w:val="Hyperlink"/>
          </w:rPr>
          <w:t>https://doi.org/10.1021/acs.langmuir.9b02720</w:t>
        </w:r>
      </w:hyperlink>
    </w:p>
    <w:p w14:paraId="1AE25312" w14:textId="77777777" w:rsidR="00852760" w:rsidRDefault="00852760" w:rsidP="00A640C0">
      <w:pPr>
        <w:spacing w:after="0" w:line="240" w:lineRule="auto"/>
      </w:pPr>
    </w:p>
    <w:p w14:paraId="77A32C05" w14:textId="00B33268" w:rsidR="003D694E" w:rsidRDefault="00516B4B" w:rsidP="00A640C0">
      <w:pPr>
        <w:pStyle w:val="ListParagraph"/>
        <w:numPr>
          <w:ilvl w:val="0"/>
          <w:numId w:val="3"/>
        </w:numPr>
        <w:spacing w:after="0" w:line="240" w:lineRule="auto"/>
      </w:pPr>
      <w:proofErr w:type="spellStart"/>
      <w:r>
        <w:lastRenderedPageBreak/>
        <w:t>Wanka</w:t>
      </w:r>
      <w:proofErr w:type="spellEnd"/>
      <w:r>
        <w:t xml:space="preserve">, R., </w:t>
      </w:r>
      <w:proofErr w:type="spellStart"/>
      <w:r>
        <w:t>Koc</w:t>
      </w:r>
      <w:proofErr w:type="spellEnd"/>
      <w:r>
        <w:t xml:space="preserve">, J., </w:t>
      </w:r>
      <w:r w:rsidRPr="003D694E">
        <w:rPr>
          <w:b/>
          <w:bCs/>
        </w:rPr>
        <w:t>Clarke, J.,</w:t>
      </w:r>
      <w:r>
        <w:t xml:space="preserve"> </w:t>
      </w:r>
      <w:proofErr w:type="spellStart"/>
      <w:r>
        <w:t>Hunsucker</w:t>
      </w:r>
      <w:proofErr w:type="spellEnd"/>
      <w:r>
        <w:t xml:space="preserve">, K. Z., Swain, G. W., </w:t>
      </w:r>
      <w:proofErr w:type="spellStart"/>
      <w:r>
        <w:t>Aldred</w:t>
      </w:r>
      <w:proofErr w:type="spellEnd"/>
      <w:r>
        <w:t xml:space="preserve">, N., Finlay, J. A., Clare, A. S., &amp; </w:t>
      </w:r>
      <w:proofErr w:type="spellStart"/>
      <w:r>
        <w:t>Rosenhahn</w:t>
      </w:r>
      <w:proofErr w:type="spellEnd"/>
      <w:r>
        <w:t xml:space="preserve">, A. (2020). </w:t>
      </w:r>
      <w:r w:rsidRPr="003D694E">
        <w:rPr>
          <w:b/>
          <w:bCs/>
        </w:rPr>
        <w:t>Sol-Gel-Based Hybrid Materials as Antifouling and Fouling-Release Coatings for Marine Applications</w:t>
      </w:r>
      <w:r>
        <w:t xml:space="preserve">. </w:t>
      </w:r>
      <w:r w:rsidRPr="003D694E">
        <w:rPr>
          <w:i/>
          <w:iCs/>
        </w:rPr>
        <w:t>ACS Applied Materials and Interfaces</w:t>
      </w:r>
      <w:r>
        <w:t xml:space="preserve">, 12(47), 53286–53296. </w:t>
      </w:r>
      <w:hyperlink r:id="rId18" w:history="1">
        <w:r w:rsidR="003D694E" w:rsidRPr="003339F5">
          <w:rPr>
            <w:rStyle w:val="Hyperlink"/>
          </w:rPr>
          <w:t>https://doi.org/10.1021/acsami.0c15288</w:t>
        </w:r>
      </w:hyperlink>
    </w:p>
    <w:p w14:paraId="75A17CC5" w14:textId="77777777" w:rsidR="00852760" w:rsidRDefault="00852760" w:rsidP="00A640C0">
      <w:pPr>
        <w:spacing w:after="0" w:line="240" w:lineRule="auto"/>
      </w:pPr>
    </w:p>
    <w:p w14:paraId="24DD76A0" w14:textId="6D71DA70" w:rsidR="003D694E" w:rsidRDefault="00516B4B" w:rsidP="00A640C0">
      <w:pPr>
        <w:pStyle w:val="ListParagraph"/>
        <w:numPr>
          <w:ilvl w:val="0"/>
          <w:numId w:val="3"/>
        </w:numPr>
        <w:spacing w:after="0" w:line="240" w:lineRule="auto"/>
      </w:pPr>
      <w:r>
        <w:t xml:space="preserve">Yu, W., </w:t>
      </w:r>
      <w:proofErr w:type="spellStart"/>
      <w:r>
        <w:t>Koc</w:t>
      </w:r>
      <w:proofErr w:type="spellEnd"/>
      <w:r>
        <w:t xml:space="preserve">, J., Finlay, J. A., </w:t>
      </w:r>
      <w:r w:rsidRPr="003D694E">
        <w:rPr>
          <w:b/>
          <w:bCs/>
        </w:rPr>
        <w:t>Clarke, J. L.,</w:t>
      </w:r>
      <w:r>
        <w:t xml:space="preserve"> Clare, A. S., &amp; </w:t>
      </w:r>
      <w:proofErr w:type="spellStart"/>
      <w:r>
        <w:t>Rosenhahn</w:t>
      </w:r>
      <w:proofErr w:type="spellEnd"/>
      <w:r>
        <w:t xml:space="preserve">, A. (2019). </w:t>
      </w:r>
      <w:r w:rsidRPr="003D694E">
        <w:rPr>
          <w:b/>
          <w:bCs/>
        </w:rPr>
        <w:t>Layer-by-layer constructed hyaluronic acid/chitosan multilayers as antifouling and fouling-release coatings.</w:t>
      </w:r>
      <w:r w:rsidRPr="003D694E">
        <w:rPr>
          <w:i/>
          <w:iCs/>
        </w:rPr>
        <w:t xml:space="preserve"> </w:t>
      </w:r>
      <w:proofErr w:type="spellStart"/>
      <w:r w:rsidRPr="003D694E">
        <w:rPr>
          <w:i/>
          <w:iCs/>
        </w:rPr>
        <w:t>Biointerphases</w:t>
      </w:r>
      <w:proofErr w:type="spellEnd"/>
      <w:r>
        <w:t xml:space="preserve">, 14(5), 051002. </w:t>
      </w:r>
      <w:hyperlink r:id="rId19" w:history="1">
        <w:r w:rsidR="003D694E" w:rsidRPr="003339F5">
          <w:rPr>
            <w:rStyle w:val="Hyperlink"/>
          </w:rPr>
          <w:t>https://doi.org/10.1116/1.5110887</w:t>
        </w:r>
      </w:hyperlink>
    </w:p>
    <w:p w14:paraId="43D5F4BF" w14:textId="77777777" w:rsidR="00852760" w:rsidRDefault="00852760" w:rsidP="00A640C0">
      <w:pPr>
        <w:spacing w:after="0" w:line="240" w:lineRule="auto"/>
      </w:pPr>
    </w:p>
    <w:p w14:paraId="3349B053" w14:textId="6CE19351" w:rsidR="00516B4B" w:rsidRPr="003D694E" w:rsidRDefault="00516B4B" w:rsidP="00A640C0">
      <w:pPr>
        <w:pStyle w:val="ListParagraph"/>
        <w:numPr>
          <w:ilvl w:val="0"/>
          <w:numId w:val="3"/>
        </w:numPr>
        <w:spacing w:after="0" w:line="240" w:lineRule="auto"/>
      </w:pPr>
      <w:r>
        <w:t xml:space="preserve">Yu, W., </w:t>
      </w:r>
      <w:proofErr w:type="spellStart"/>
      <w:r>
        <w:t>Wanka</w:t>
      </w:r>
      <w:proofErr w:type="spellEnd"/>
      <w:r>
        <w:t xml:space="preserve">, R., Finlay, J. A., </w:t>
      </w:r>
      <w:r w:rsidRPr="003D694E">
        <w:rPr>
          <w:b/>
          <w:bCs/>
        </w:rPr>
        <w:t>Clarke, J. L.,</w:t>
      </w:r>
      <w:r>
        <w:t xml:space="preserve"> Clare, A. S., &amp; </w:t>
      </w:r>
      <w:proofErr w:type="spellStart"/>
      <w:r>
        <w:t>Rosenhahn</w:t>
      </w:r>
      <w:proofErr w:type="spellEnd"/>
      <w:r>
        <w:t xml:space="preserve">, A. (2020). </w:t>
      </w:r>
      <w:r w:rsidRPr="003D694E">
        <w:rPr>
          <w:b/>
          <w:bCs/>
        </w:rPr>
        <w:t>Degradable hyaluronic acid/chitosan polyelectrolyte multilayers with marine fouling-release properties</w:t>
      </w:r>
      <w:r>
        <w:t>.</w:t>
      </w:r>
      <w:r w:rsidRPr="003D694E">
        <w:rPr>
          <w:i/>
          <w:iCs/>
        </w:rPr>
        <w:t xml:space="preserve"> Biofouling</w:t>
      </w:r>
      <w:r>
        <w:t>, 36(9), 1049–1064. https://doi.org/10.1080/08927014.2020.1846725</w:t>
      </w:r>
      <w:r>
        <w:fldChar w:fldCharType="begin" w:fldLock="1"/>
      </w:r>
      <w:r>
        <w:instrText xml:space="preserve">ADDIN Mendeley Bibliography CSL_BIBLIOGRAPHY </w:instrText>
      </w:r>
      <w:r>
        <w:fldChar w:fldCharType="separate"/>
      </w:r>
    </w:p>
    <w:p w14:paraId="14EAE717" w14:textId="2BA28962" w:rsidR="00516B4B" w:rsidRDefault="00516B4B" w:rsidP="00A640C0">
      <w:pPr>
        <w:spacing w:after="0" w:line="240" w:lineRule="auto"/>
      </w:pPr>
      <w:r>
        <w:fldChar w:fldCharType="end"/>
      </w:r>
    </w:p>
    <w:p w14:paraId="60E1097F" w14:textId="5CF581AC" w:rsidR="009F798B" w:rsidRPr="003D694E" w:rsidRDefault="009F798B" w:rsidP="00A640C0">
      <w:pPr>
        <w:spacing w:after="0" w:line="240" w:lineRule="auto"/>
        <w:rPr>
          <w:b/>
          <w:bCs/>
          <w:u w:val="single"/>
        </w:rPr>
      </w:pPr>
      <w:r w:rsidRPr="003D694E">
        <w:rPr>
          <w:b/>
          <w:bCs/>
          <w:u w:val="single"/>
        </w:rPr>
        <w:t>Other publications</w:t>
      </w:r>
    </w:p>
    <w:p w14:paraId="5023BB50" w14:textId="7A009460" w:rsidR="00852760" w:rsidRDefault="00696959" w:rsidP="00A640C0">
      <w:pPr>
        <w:pStyle w:val="ListParagraph"/>
        <w:numPr>
          <w:ilvl w:val="0"/>
          <w:numId w:val="4"/>
        </w:numPr>
        <w:spacing w:after="0" w:line="240" w:lineRule="auto"/>
      </w:pPr>
      <w:r w:rsidRPr="00852760">
        <w:rPr>
          <w:b/>
          <w:bCs/>
        </w:rPr>
        <w:t>Clarke, J.,</w:t>
      </w:r>
      <w:r>
        <w:t xml:space="preserve"> &amp; Stern, R. (2015</w:t>
      </w:r>
      <w:r w:rsidRPr="00852760">
        <w:rPr>
          <w:b/>
          <w:bCs/>
        </w:rPr>
        <w:t>). Detecting Pseudo-</w:t>
      </w:r>
      <w:proofErr w:type="spellStart"/>
      <w:r w:rsidRPr="00852760">
        <w:rPr>
          <w:b/>
          <w:bCs/>
        </w:rPr>
        <w:t>nitzschia</w:t>
      </w:r>
      <w:proofErr w:type="spellEnd"/>
      <w:r w:rsidRPr="00852760">
        <w:rPr>
          <w:b/>
          <w:bCs/>
        </w:rPr>
        <w:t xml:space="preserve"> and </w:t>
      </w:r>
      <w:proofErr w:type="spellStart"/>
      <w:r w:rsidRPr="00852760">
        <w:rPr>
          <w:b/>
          <w:bCs/>
        </w:rPr>
        <w:t>Alexandrium</w:t>
      </w:r>
      <w:proofErr w:type="spellEnd"/>
      <w:r w:rsidRPr="00852760">
        <w:rPr>
          <w:b/>
          <w:bCs/>
        </w:rPr>
        <w:t xml:space="preserve"> spp. from archival CPR samples using molecular techniques</w:t>
      </w:r>
      <w:r>
        <w:t>. In SAHFOS 2015 Annual report</w:t>
      </w:r>
    </w:p>
    <w:p w14:paraId="03492954" w14:textId="77777777" w:rsidR="00852760" w:rsidRDefault="00852760" w:rsidP="00A640C0">
      <w:pPr>
        <w:pStyle w:val="ListParagraph"/>
        <w:spacing w:after="0" w:line="240" w:lineRule="auto"/>
      </w:pPr>
    </w:p>
    <w:p w14:paraId="76A71AC5" w14:textId="5FDAB03E" w:rsidR="00852760" w:rsidRDefault="003D694E" w:rsidP="00A640C0">
      <w:pPr>
        <w:pStyle w:val="ListParagraph"/>
        <w:numPr>
          <w:ilvl w:val="0"/>
          <w:numId w:val="4"/>
        </w:numPr>
        <w:spacing w:after="0" w:line="240" w:lineRule="auto"/>
      </w:pPr>
      <w:r>
        <w:t xml:space="preserve">Stern, R, Martins, C., Walker, C., </w:t>
      </w:r>
      <w:r w:rsidRPr="00852760">
        <w:rPr>
          <w:b/>
          <w:bCs/>
        </w:rPr>
        <w:t>Clarke, J.,</w:t>
      </w:r>
      <w:r>
        <w:t xml:space="preserve"> </w:t>
      </w:r>
      <w:proofErr w:type="spellStart"/>
      <w:r>
        <w:t>Tarran</w:t>
      </w:r>
      <w:proofErr w:type="spellEnd"/>
      <w:r>
        <w:t xml:space="preserve">, G., &amp; Edwards, M. (2015). </w:t>
      </w:r>
      <w:r w:rsidRPr="00852760">
        <w:rPr>
          <w:b/>
          <w:bCs/>
        </w:rPr>
        <w:t>Maximising autonomous marine observations using the Continuous Plankton Recorder survey</w:t>
      </w:r>
      <w:r>
        <w:t>: a DEFRA technical report.</w:t>
      </w:r>
      <w:r w:rsidR="00DC26A8">
        <w:br/>
      </w:r>
    </w:p>
    <w:p w14:paraId="43D0A062" w14:textId="7A4C8D88" w:rsidR="003D694E" w:rsidRDefault="003D694E" w:rsidP="00A640C0">
      <w:pPr>
        <w:pStyle w:val="ListParagraph"/>
        <w:numPr>
          <w:ilvl w:val="0"/>
          <w:numId w:val="4"/>
        </w:numPr>
        <w:spacing w:after="0" w:line="240" w:lineRule="auto"/>
      </w:pPr>
      <w:r>
        <w:t xml:space="preserve">Stern, Rowena, </w:t>
      </w:r>
      <w:proofErr w:type="spellStart"/>
      <w:r>
        <w:t>Helaouet</w:t>
      </w:r>
      <w:proofErr w:type="spellEnd"/>
      <w:r>
        <w:t xml:space="preserve">, P., &amp; </w:t>
      </w:r>
      <w:r w:rsidRPr="00852760">
        <w:rPr>
          <w:b/>
          <w:bCs/>
        </w:rPr>
        <w:t>Clarke, J</w:t>
      </w:r>
      <w:r>
        <w:t>. (2015</w:t>
      </w:r>
      <w:r w:rsidRPr="00852760">
        <w:rPr>
          <w:b/>
          <w:bCs/>
        </w:rPr>
        <w:t xml:space="preserve">). HAB genera </w:t>
      </w:r>
      <w:r w:rsidR="006176BB" w:rsidRPr="00852760">
        <w:rPr>
          <w:b/>
          <w:bCs/>
        </w:rPr>
        <w:t>identified</w:t>
      </w:r>
      <w:r w:rsidRPr="00852760">
        <w:rPr>
          <w:b/>
          <w:bCs/>
        </w:rPr>
        <w:t xml:space="preserve"> on archival samples from the </w:t>
      </w:r>
      <w:r w:rsidR="006176BB" w:rsidRPr="00852760">
        <w:rPr>
          <w:b/>
          <w:bCs/>
        </w:rPr>
        <w:t>continuous</w:t>
      </w:r>
      <w:r w:rsidRPr="00852760">
        <w:rPr>
          <w:b/>
          <w:bCs/>
        </w:rPr>
        <w:t xml:space="preserve"> plankton recorder survey.</w:t>
      </w:r>
      <w:r>
        <w:t xml:space="preserve"> Harmful </w:t>
      </w:r>
      <w:proofErr w:type="spellStart"/>
      <w:r>
        <w:t>Alage</w:t>
      </w:r>
      <w:proofErr w:type="spellEnd"/>
      <w:r>
        <w:t xml:space="preserve"> News, 52, 2,7. https://doi.org/10.1007/s00192-014-2608-2</w:t>
      </w:r>
    </w:p>
    <w:bookmarkEnd w:id="0"/>
    <w:p w14:paraId="1EC5AC44" w14:textId="35A5A76B" w:rsidR="00696959" w:rsidRDefault="00696959" w:rsidP="00A640C0">
      <w:pPr>
        <w:spacing w:after="0" w:line="240" w:lineRule="auto"/>
      </w:pPr>
    </w:p>
    <w:sectPr w:rsidR="00696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B9C"/>
    <w:multiLevelType w:val="hybridMultilevel"/>
    <w:tmpl w:val="08F0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1CD"/>
    <w:multiLevelType w:val="hybridMultilevel"/>
    <w:tmpl w:val="529CA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A7856"/>
    <w:multiLevelType w:val="hybridMultilevel"/>
    <w:tmpl w:val="B8C4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20FA3"/>
    <w:multiLevelType w:val="hybridMultilevel"/>
    <w:tmpl w:val="309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E56B4"/>
    <w:multiLevelType w:val="hybridMultilevel"/>
    <w:tmpl w:val="1140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63138"/>
    <w:multiLevelType w:val="hybridMultilevel"/>
    <w:tmpl w:val="E05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A3"/>
    <w:rsid w:val="000113FA"/>
    <w:rsid w:val="00011B91"/>
    <w:rsid w:val="00021BEB"/>
    <w:rsid w:val="000231F2"/>
    <w:rsid w:val="00032D90"/>
    <w:rsid w:val="000A7D2E"/>
    <w:rsid w:val="00156F6B"/>
    <w:rsid w:val="001758D9"/>
    <w:rsid w:val="001B5B2A"/>
    <w:rsid w:val="001E7759"/>
    <w:rsid w:val="00294FE6"/>
    <w:rsid w:val="00296075"/>
    <w:rsid w:val="002B0F40"/>
    <w:rsid w:val="002E1428"/>
    <w:rsid w:val="002E6C6D"/>
    <w:rsid w:val="00384959"/>
    <w:rsid w:val="003D4BEA"/>
    <w:rsid w:val="003D694E"/>
    <w:rsid w:val="00425809"/>
    <w:rsid w:val="00497D32"/>
    <w:rsid w:val="004D038D"/>
    <w:rsid w:val="004E3C22"/>
    <w:rsid w:val="004F4736"/>
    <w:rsid w:val="00516B4B"/>
    <w:rsid w:val="00543E52"/>
    <w:rsid w:val="00585063"/>
    <w:rsid w:val="005A4DC2"/>
    <w:rsid w:val="005E47AF"/>
    <w:rsid w:val="005F0462"/>
    <w:rsid w:val="006011A3"/>
    <w:rsid w:val="00610C87"/>
    <w:rsid w:val="006176BB"/>
    <w:rsid w:val="0063210F"/>
    <w:rsid w:val="00657A37"/>
    <w:rsid w:val="00661754"/>
    <w:rsid w:val="00693C2B"/>
    <w:rsid w:val="00696959"/>
    <w:rsid w:val="006B5A45"/>
    <w:rsid w:val="006E7E20"/>
    <w:rsid w:val="00704E5F"/>
    <w:rsid w:val="007208A6"/>
    <w:rsid w:val="007410AB"/>
    <w:rsid w:val="00744EC6"/>
    <w:rsid w:val="00790F91"/>
    <w:rsid w:val="007A0365"/>
    <w:rsid w:val="007A3CA9"/>
    <w:rsid w:val="007A7515"/>
    <w:rsid w:val="00835D3C"/>
    <w:rsid w:val="00852760"/>
    <w:rsid w:val="00885F75"/>
    <w:rsid w:val="008A3AC0"/>
    <w:rsid w:val="008A5EC6"/>
    <w:rsid w:val="008B6DD4"/>
    <w:rsid w:val="008E2143"/>
    <w:rsid w:val="009134F9"/>
    <w:rsid w:val="00945207"/>
    <w:rsid w:val="0098125B"/>
    <w:rsid w:val="009F1099"/>
    <w:rsid w:val="009F798B"/>
    <w:rsid w:val="00A004E7"/>
    <w:rsid w:val="00A0658E"/>
    <w:rsid w:val="00A17AD1"/>
    <w:rsid w:val="00A20A47"/>
    <w:rsid w:val="00A56099"/>
    <w:rsid w:val="00A640C0"/>
    <w:rsid w:val="00A96305"/>
    <w:rsid w:val="00B00824"/>
    <w:rsid w:val="00B0329B"/>
    <w:rsid w:val="00B0715F"/>
    <w:rsid w:val="00B1789B"/>
    <w:rsid w:val="00B54748"/>
    <w:rsid w:val="00BB0633"/>
    <w:rsid w:val="00BF4BCA"/>
    <w:rsid w:val="00C7684D"/>
    <w:rsid w:val="00D25BC8"/>
    <w:rsid w:val="00D626EE"/>
    <w:rsid w:val="00DC26A8"/>
    <w:rsid w:val="00EA285B"/>
    <w:rsid w:val="00EE191B"/>
    <w:rsid w:val="00F3486B"/>
    <w:rsid w:val="00FB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D1CE"/>
  <w15:chartTrackingRefBased/>
  <w15:docId w15:val="{C8FC61D7-0925-4AE9-A021-57356B4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1A3"/>
    <w:rPr>
      <w:color w:val="0563C1" w:themeColor="hyperlink"/>
      <w:u w:val="single"/>
    </w:rPr>
  </w:style>
  <w:style w:type="character" w:styleId="UnresolvedMention">
    <w:name w:val="Unresolved Mention"/>
    <w:basedOn w:val="DefaultParagraphFont"/>
    <w:uiPriority w:val="99"/>
    <w:semiHidden/>
    <w:unhideWhenUsed/>
    <w:rsid w:val="006011A3"/>
    <w:rPr>
      <w:color w:val="605E5C"/>
      <w:shd w:val="clear" w:color="auto" w:fill="E1DFDD"/>
    </w:rPr>
  </w:style>
  <w:style w:type="paragraph" w:styleId="ListParagraph">
    <w:name w:val="List Paragraph"/>
    <w:basedOn w:val="Normal"/>
    <w:uiPriority w:val="34"/>
    <w:qFormat/>
    <w:rsid w:val="006011A3"/>
    <w:pPr>
      <w:ind w:left="720"/>
      <w:contextualSpacing/>
    </w:pPr>
  </w:style>
  <w:style w:type="character" w:styleId="CommentReference">
    <w:name w:val="annotation reference"/>
    <w:basedOn w:val="DefaultParagraphFont"/>
    <w:uiPriority w:val="99"/>
    <w:semiHidden/>
    <w:unhideWhenUsed/>
    <w:rsid w:val="00A0658E"/>
    <w:rPr>
      <w:sz w:val="16"/>
      <w:szCs w:val="16"/>
    </w:rPr>
  </w:style>
  <w:style w:type="paragraph" w:styleId="CommentText">
    <w:name w:val="annotation text"/>
    <w:basedOn w:val="Normal"/>
    <w:link w:val="CommentTextChar"/>
    <w:uiPriority w:val="99"/>
    <w:semiHidden/>
    <w:unhideWhenUsed/>
    <w:rsid w:val="00A0658E"/>
    <w:pPr>
      <w:spacing w:line="240" w:lineRule="auto"/>
    </w:pPr>
    <w:rPr>
      <w:sz w:val="20"/>
      <w:szCs w:val="20"/>
    </w:rPr>
  </w:style>
  <w:style w:type="character" w:customStyle="1" w:styleId="CommentTextChar">
    <w:name w:val="Comment Text Char"/>
    <w:basedOn w:val="DefaultParagraphFont"/>
    <w:link w:val="CommentText"/>
    <w:uiPriority w:val="99"/>
    <w:semiHidden/>
    <w:rsid w:val="00A0658E"/>
    <w:rPr>
      <w:sz w:val="20"/>
      <w:szCs w:val="20"/>
    </w:rPr>
  </w:style>
  <w:style w:type="paragraph" w:styleId="CommentSubject">
    <w:name w:val="annotation subject"/>
    <w:basedOn w:val="CommentText"/>
    <w:next w:val="CommentText"/>
    <w:link w:val="CommentSubjectChar"/>
    <w:uiPriority w:val="99"/>
    <w:semiHidden/>
    <w:unhideWhenUsed/>
    <w:rsid w:val="00A0658E"/>
    <w:rPr>
      <w:b/>
      <w:bCs/>
    </w:rPr>
  </w:style>
  <w:style w:type="character" w:customStyle="1" w:styleId="CommentSubjectChar">
    <w:name w:val="Comment Subject Char"/>
    <w:basedOn w:val="CommentTextChar"/>
    <w:link w:val="CommentSubject"/>
    <w:uiPriority w:val="99"/>
    <w:semiHidden/>
    <w:rsid w:val="00A0658E"/>
    <w:rPr>
      <w:b/>
      <w:bCs/>
      <w:sz w:val="20"/>
      <w:szCs w:val="20"/>
    </w:rPr>
  </w:style>
  <w:style w:type="paragraph" w:customStyle="1" w:styleId="Default">
    <w:name w:val="Default"/>
    <w:rsid w:val="009134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145-9367" TargetMode="External"/><Relationship Id="rId13" Type="http://schemas.openxmlformats.org/officeDocument/2006/relationships/hyperlink" Target="https://doi.org/10.1021/acsami.0c11580" TargetMode="External"/><Relationship Id="rId18" Type="http://schemas.openxmlformats.org/officeDocument/2006/relationships/hyperlink" Target="https://doi.org/10.1021/acsami.0c152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esearch.ncl.ac.uk/biofouling/" TargetMode="External"/><Relationship Id="rId12" Type="http://schemas.openxmlformats.org/officeDocument/2006/relationships/hyperlink" Target="https://doi.org/10.1111/brv.12691" TargetMode="External"/><Relationship Id="rId17" Type="http://schemas.openxmlformats.org/officeDocument/2006/relationships/hyperlink" Target="https://doi.org/10.1021/acs.langmuir.9b02720" TargetMode="External"/><Relationship Id="rId2" Type="http://schemas.openxmlformats.org/officeDocument/2006/relationships/numbering" Target="numbering.xml"/><Relationship Id="rId16" Type="http://schemas.openxmlformats.org/officeDocument/2006/relationships/hyperlink" Target="https://doi.org/10.5194/bg-16-4183-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clarke14@newcastle.ac.uk" TargetMode="External"/><Relationship Id="rId11" Type="http://schemas.openxmlformats.org/officeDocument/2006/relationships/hyperlink" Target="https://doi.org/10.1186/s40850-020-00054-6" TargetMode="External"/><Relationship Id="rId5" Type="http://schemas.openxmlformats.org/officeDocument/2006/relationships/webSettings" Target="webSettings.xml"/><Relationship Id="rId15" Type="http://schemas.openxmlformats.org/officeDocument/2006/relationships/hyperlink" Target="https://doi.org/10.1021/acsami.1c05266" TargetMode="External"/><Relationship Id="rId10" Type="http://schemas.openxmlformats.org/officeDocument/2006/relationships/hyperlink" Target="https://doi.org/10.1021/acs.macromol.8b02390" TargetMode="External"/><Relationship Id="rId19" Type="http://schemas.openxmlformats.org/officeDocument/2006/relationships/hyperlink" Target="https://doi.org/10.1116/1.511088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21/acs.langmuir.8b02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2EF3-D5F3-49F2-BC7C-90CE40F8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Clarke (PGR)</dc:creator>
  <cp:keywords/>
  <dc:description/>
  <cp:lastModifiedBy>Jayne Moorhead</cp:lastModifiedBy>
  <cp:revision>2</cp:revision>
  <dcterms:created xsi:type="dcterms:W3CDTF">2022-05-31T12:37:00Z</dcterms:created>
  <dcterms:modified xsi:type="dcterms:W3CDTF">2022-05-31T12:37:00Z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72f34c24-3dbf-3392-a6d5-fca056e1d487</vt:lpwstr>
  </property>
  <property fmtid="{D5CDD505-2E9C-101B-9397-08002B2CF9AE}" pid="24" name="Mendeley Citation Style_1">
    <vt:lpwstr>http://www.zotero.org/styles/apa</vt:lpwstr>
  </property>
</Properties>
</file>